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A" w:rsidRPr="002B6A9D" w:rsidRDefault="00E32A79">
      <w:pPr>
        <w:rPr>
          <w:b/>
        </w:rPr>
      </w:pPr>
      <w:r w:rsidRPr="002B6A9D">
        <w:rPr>
          <w:b/>
        </w:rPr>
        <w:t>Раздаточный материал к лекции 1</w:t>
      </w:r>
      <w:r w:rsidR="00C906D6">
        <w:rPr>
          <w:b/>
        </w:rPr>
        <w:t>7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/>
          <w:bCs/>
          <w:color w:val="000000"/>
          <w:sz w:val="24"/>
          <w:szCs w:val="24"/>
        </w:rPr>
        <w:t>Опасные и вредные факторы на рабочем месте пользователя ПЭВМ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Требования, направленные на предотвращение неблагоприятного </w:t>
      </w:r>
      <w:proofErr w:type="gramStart"/>
      <w:r w:rsidRPr="00892945">
        <w:rPr>
          <w:rFonts w:ascii="Arial" w:hAnsi="Arial" w:cs="Arial"/>
          <w:bCs/>
          <w:color w:val="000000"/>
          <w:sz w:val="24"/>
          <w:szCs w:val="24"/>
        </w:rPr>
        <w:t>влияния</w:t>
      </w:r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на здоровье человека вредных факторов производственной среды и трудового пр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цесса при работе с ПЭВМ, регламентируются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СанПиНом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2.2.2./2.2.4.1340-03 «Г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гиенические требования к персональным электронно-вычислительным машинам и организации работы» (с изменениями на 25 апреля 2007 года), который устанавл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вает санитарно-эпидемиологические требования к персональным электронно-вычислительным машинам (ПЭВМ) и условиям труда (к организации рабочих мест с ПЭВМ, производственным оборудованием на базе ПЭВМ). </w:t>
      </w:r>
      <w:proofErr w:type="gramStart"/>
      <w:r w:rsidRPr="00892945">
        <w:rPr>
          <w:rFonts w:ascii="Arial" w:hAnsi="Arial" w:cs="Arial"/>
          <w:bCs/>
          <w:color w:val="000000"/>
          <w:sz w:val="24"/>
          <w:szCs w:val="24"/>
        </w:rPr>
        <w:t>Требования санитарных правил распространяются на условия и организацию работы с ПЭВМ; на вычисл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тельные электронные цифровые машины персональные, портативные; перифери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й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ные устройства вычислительных комплексов (принтеры, сканеры, клавиатура, м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демы внешние, электрические компьютерные сетевые устройства, устройства хр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нения информации, блоки бесперебойного питания и пр.), устройства отображения информации (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видеодисплейные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терминалы (ВДТ) всех типов) и игровые комплексы на базе ПЭВМ.</w:t>
      </w:r>
      <w:proofErr w:type="gramEnd"/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Перечень продукции и контролируемых гигиенических параметров вредных и опасных факторов представлены в табл.1.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right"/>
        <w:rPr>
          <w:rFonts w:ascii="Arial" w:hAnsi="Arial" w:cs="Arial"/>
          <w:bCs/>
          <w:color w:val="000000"/>
        </w:rPr>
      </w:pPr>
      <w:r w:rsidRPr="00892945">
        <w:rPr>
          <w:rFonts w:ascii="Arial" w:hAnsi="Arial" w:cs="Arial"/>
          <w:bCs/>
          <w:color w:val="000000"/>
        </w:rPr>
        <w:t>Таблица 6.6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3615"/>
        <w:gridCol w:w="1080"/>
        <w:gridCol w:w="4136"/>
      </w:tblGrid>
      <w:tr w:rsidR="00C906D6" w:rsidRPr="00892945" w:rsidTr="00F360AB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spacing w:before="120" w:line="360" w:lineRule="auto"/>
              <w:ind w:firstLine="7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Перечень продукции и контролируемые гигиенические параметры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продукции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ОКП </w:t>
            </w: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Контролируемые гигиенические параметры 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Машины вычислительные электро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ные цифровые, машины вычисл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тельные электронные цифровые персональные (включая портативные ЭВМ)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40 1300,</w:t>
            </w:r>
          </w:p>
          <w:p w:rsidR="00C906D6" w:rsidRPr="00892945" w:rsidRDefault="00C906D6" w:rsidP="00C906D6">
            <w:pPr>
              <w:ind w:firstLine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40 1350,</w:t>
            </w:r>
          </w:p>
          <w:p w:rsidR="00C906D6" w:rsidRPr="00892945" w:rsidRDefault="00C906D6" w:rsidP="00C906D6">
            <w:pPr>
              <w:ind w:firstLine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40 1370 </w:t>
            </w: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Уровни электромагнитных полей (ЭМП), акустического шума, концентрация вре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ных веществ в воздухе, визуальные пок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затели ВДТ, мягкое рентгеновское излуч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ние*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Устройства периферийные: принт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ры, сканеры, модемы, сетевые ус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ройства, блоки бесперебойного пит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ния и т.д.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40 3000 </w:t>
            </w: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Уровни ЭМП, акустического шума, конце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трация вредных веществ в воздухе 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Устройства отображения информ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ции (</w:t>
            </w:r>
            <w:proofErr w:type="spellStart"/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видеодисплейные</w:t>
            </w:r>
            <w:proofErr w:type="spellEnd"/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терминалы)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40 3200 </w:t>
            </w: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Уровни ЭМП, визуальные показатели, ко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центрация вредных веществ в воздухе, мягкое рентгеновское излучение*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Автоматы игровые с использованием ПЭВМ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96 8575 </w:t>
            </w:r>
          </w:p>
        </w:tc>
        <w:tc>
          <w:tcPr>
            <w:tcW w:w="4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C906D6">
            <w:pPr>
              <w:ind w:firstLine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Уровни ЭМП, акустического шума, конце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трация вредных веществ в воздухе, визуальные показатели ВДТ, мягкое рентг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новское излучение*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ind w:firstLine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* Контроль мягкого рентгеновского излучения осуществляется только для </w:t>
            </w:r>
            <w:proofErr w:type="spellStart"/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>видеодисплейных</w:t>
            </w:r>
            <w:proofErr w:type="spellEnd"/>
            <w:r w:rsidRPr="0089294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терминалов с использованием электронно-лучевых трубок.</w:t>
            </w:r>
          </w:p>
        </w:tc>
      </w:tr>
    </w:tbl>
    <w:p w:rsidR="00C906D6" w:rsidRDefault="00C906D6" w:rsidP="00C906D6">
      <w:pPr>
        <w:ind w:firstLine="225"/>
        <w:rPr>
          <w:color w:val="000000"/>
        </w:rPr>
      </w:pP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/>
          <w:bCs/>
          <w:color w:val="000000"/>
          <w:sz w:val="24"/>
          <w:szCs w:val="24"/>
        </w:rPr>
        <w:t>Требования к визуальным параметрам ВДТ, контролируемым на раб</w:t>
      </w:r>
      <w:r w:rsidRPr="00892945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/>
          <w:bCs/>
          <w:color w:val="000000"/>
          <w:sz w:val="24"/>
          <w:szCs w:val="24"/>
        </w:rPr>
        <w:t xml:space="preserve">чих местах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Предельно допустимые значения визуальных параметров ВДТ, контролиру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мые на рабочих местах, представлены в табл.</w:t>
      </w:r>
      <w:r>
        <w:rPr>
          <w:rFonts w:ascii="Arial" w:hAnsi="Arial" w:cs="Arial"/>
          <w:bCs/>
          <w:color w:val="000000"/>
          <w:sz w:val="24"/>
          <w:szCs w:val="24"/>
        </w:rPr>
        <w:t>6.10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C906D6" w:rsidRPr="00892945" w:rsidRDefault="00C906D6" w:rsidP="00C906D6">
      <w:pPr>
        <w:pStyle w:val="6"/>
        <w:shd w:val="clear" w:color="auto" w:fill="FFFFFF"/>
        <w:ind w:firstLine="720"/>
        <w:jc w:val="right"/>
        <w:rPr>
          <w:rFonts w:ascii="Arial" w:hAnsi="Arial" w:cs="Arial"/>
          <w:bCs/>
          <w:color w:val="000000"/>
        </w:rPr>
      </w:pPr>
      <w:r w:rsidRPr="00892945">
        <w:rPr>
          <w:rFonts w:ascii="Arial" w:hAnsi="Arial" w:cs="Arial"/>
          <w:bCs/>
          <w:color w:val="000000"/>
        </w:rPr>
        <w:t>Таблица 6.10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80"/>
        <w:gridCol w:w="5700"/>
        <w:gridCol w:w="2700"/>
      </w:tblGrid>
      <w:tr w:rsidR="00C906D6" w:rsidRPr="00892945" w:rsidTr="00F360A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ind w:firstLine="7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Допустимые визуальные параметры устройств отображения информации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N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Параметры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Допустимые значения 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Яркость белого поля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Не менее 35 кд/м</w:t>
            </w:r>
            <w:r w:rsidRPr="00892945">
              <w:rPr>
                <w:rFonts w:ascii="Arial" w:hAnsi="Arial" w:cs="Arial"/>
                <w:bCs/>
                <w:noProof/>
                <w:color w:val="000000"/>
              </w:rPr>
              <w:drawing>
                <wp:inline distT="0" distB="0" distL="0" distR="0">
                  <wp:extent cx="88900" cy="189865"/>
                  <wp:effectExtent l="19050" t="0" r="6350" b="0"/>
                  <wp:docPr id="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94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2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Неравномерность яркости рабочего поля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Не более ± 20%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3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Контрастность (для монохромного режима)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Не менее 3:1 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4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Временная нестабильность изображения (непреднамере</w:t>
            </w:r>
            <w:r w:rsidRPr="00892945">
              <w:rPr>
                <w:rFonts w:ascii="Arial" w:hAnsi="Arial" w:cs="Arial"/>
                <w:bCs/>
                <w:color w:val="000000"/>
              </w:rPr>
              <w:t>н</w:t>
            </w:r>
            <w:r w:rsidRPr="00892945">
              <w:rPr>
                <w:rFonts w:ascii="Arial" w:hAnsi="Arial" w:cs="Arial"/>
                <w:bCs/>
                <w:color w:val="000000"/>
              </w:rPr>
              <w:t>ное изменение во времени яркости изображения на экране дисплея)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Не должна фиксироваться </w:t>
            </w:r>
          </w:p>
        </w:tc>
      </w:tr>
      <w:tr w:rsidR="00C906D6" w:rsidRPr="00892945" w:rsidTr="00F360AB">
        <w:tblPrEx>
          <w:tblCellMar>
            <w:left w:w="30" w:type="dxa"/>
            <w:right w:w="3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 xml:space="preserve">5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Пространственная нестабильность изображения (непре</w:t>
            </w:r>
            <w:r w:rsidRPr="00892945">
              <w:rPr>
                <w:rFonts w:ascii="Arial" w:hAnsi="Arial" w:cs="Arial"/>
                <w:bCs/>
                <w:color w:val="000000"/>
              </w:rPr>
              <w:t>д</w:t>
            </w:r>
            <w:r w:rsidRPr="00892945">
              <w:rPr>
                <w:rFonts w:ascii="Arial" w:hAnsi="Arial" w:cs="Arial"/>
                <w:bCs/>
                <w:color w:val="000000"/>
              </w:rPr>
              <w:t>намеренные изменения положения фрагментов изображ</w:t>
            </w:r>
            <w:r w:rsidRPr="00892945">
              <w:rPr>
                <w:rFonts w:ascii="Arial" w:hAnsi="Arial" w:cs="Arial"/>
                <w:bCs/>
                <w:color w:val="000000"/>
              </w:rPr>
              <w:t>е</w:t>
            </w:r>
            <w:r w:rsidRPr="00892945">
              <w:rPr>
                <w:rFonts w:ascii="Arial" w:hAnsi="Arial" w:cs="Arial"/>
                <w:bCs/>
                <w:color w:val="000000"/>
              </w:rPr>
              <w:t>ния на экране)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6D6" w:rsidRPr="00892945" w:rsidRDefault="00C906D6" w:rsidP="00F360AB">
            <w:pPr>
              <w:pStyle w:val="6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892945">
              <w:rPr>
                <w:rFonts w:ascii="Arial" w:hAnsi="Arial" w:cs="Arial"/>
                <w:bCs/>
                <w:color w:val="000000"/>
              </w:rPr>
              <w:t>Не более 2·10</w:t>
            </w:r>
            <w:r w:rsidRPr="00892945">
              <w:rPr>
                <w:rFonts w:ascii="Arial" w:hAnsi="Arial" w:cs="Arial"/>
                <w:bCs/>
                <w:noProof/>
                <w:color w:val="000000"/>
              </w:rPr>
              <w:drawing>
                <wp:inline distT="0" distB="0" distL="0" distR="0">
                  <wp:extent cx="212090" cy="189865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945">
              <w:rPr>
                <w:rFonts w:ascii="Arial" w:hAnsi="Arial" w:cs="Arial"/>
                <w:bCs/>
                <w:color w:val="000000"/>
              </w:rPr>
              <w:t>, где L - проектное расстояние н</w:t>
            </w:r>
            <w:r w:rsidRPr="00892945">
              <w:rPr>
                <w:rFonts w:ascii="Arial" w:hAnsi="Arial" w:cs="Arial"/>
                <w:bCs/>
                <w:color w:val="000000"/>
              </w:rPr>
              <w:t>а</w:t>
            </w:r>
            <w:r w:rsidRPr="00892945">
              <w:rPr>
                <w:rFonts w:ascii="Arial" w:hAnsi="Arial" w:cs="Arial"/>
                <w:bCs/>
                <w:color w:val="000000"/>
              </w:rPr>
              <w:t xml:space="preserve">блюдения, </w:t>
            </w:r>
            <w:proofErr w:type="gramStart"/>
            <w:r w:rsidRPr="00892945">
              <w:rPr>
                <w:rFonts w:ascii="Arial" w:hAnsi="Arial" w:cs="Arial"/>
                <w:bCs/>
                <w:color w:val="000000"/>
              </w:rPr>
              <w:t>мм</w:t>
            </w:r>
            <w:proofErr w:type="gramEnd"/>
            <w:r w:rsidRPr="0089294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Для дисплеев на ЭЛТ частота обновления изображения должна быть не м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нее 75 Гц при всех режимах разрешения экрана, гарантируемых нормативной док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у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ментацией на конкретный тип дисплея, и не менее 60 Гц для дисплеев на плоских дискретных экранах (жидкокристаллических, плазменных и т.п.).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у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0,4-0,6 и не иметь блестящих деталей, способных создавать блики.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Конструкция ВДТ должна предусматривать регулирование яркости и контр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стности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AA199F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199F">
        <w:rPr>
          <w:rFonts w:ascii="Arial" w:hAnsi="Arial" w:cs="Arial"/>
          <w:b/>
          <w:bCs/>
          <w:color w:val="000000"/>
          <w:sz w:val="24"/>
          <w:szCs w:val="24"/>
        </w:rPr>
        <w:t>Эргономика</w:t>
      </w:r>
    </w:p>
    <w:p w:rsidR="00C906D6" w:rsidRPr="00AA199F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199F">
        <w:rPr>
          <w:rFonts w:ascii="Arial" w:hAnsi="Arial" w:cs="Arial"/>
          <w:b/>
          <w:bCs/>
          <w:color w:val="000000"/>
          <w:sz w:val="24"/>
          <w:szCs w:val="24"/>
        </w:rPr>
        <w:t xml:space="preserve">Требования к помещениям для работы с ПЭВМ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Площадь на одно рабочее место пользователей ПЭВМ с ВДТ на базе эле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тронно-лучевой трубки (ЭЛТ) должна составлять не менее 6 м</w:t>
      </w:r>
      <w:proofErr w:type="gramStart"/>
      <w:r w:rsidRPr="002C7739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>, в помещениях кул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ь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турно-развлекательных учреждений и с ВДТ на базе плоских дискретных экранов (жидкокристаллические, плазменные) - 4,5 м</w:t>
      </w:r>
      <w:r w:rsidRPr="002C7739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lastRenderedPageBreak/>
        <w:t>При использовании ПВЭМ с ВДТ на базе ЭЛТ (без вспомогательных ус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ройств - принтер, сканер и др.), отвечающих требованиям международных станда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тов безопасности компьютеров, с продолжительностью работы менее 4 часов в день допускается минимальная площадь 4,5 м</w:t>
      </w:r>
      <w:proofErr w:type="gramStart"/>
      <w:r w:rsidRPr="002C7739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на одно рабочее место пользоват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ля (взрослого и учащегося высшего профессионального образования).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Для внутренней отделки интерьера помещений, где расположены ПЭВМ, должны использоваться диффузно отражающие материалы с коэффициентом 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ражения для потолка - 0,7-0,8;  для стен - 0,5-0,6;  для пола - 0,3-0,5.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C906D6" w:rsidRPr="00AA199F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199F">
        <w:rPr>
          <w:rFonts w:ascii="Arial" w:hAnsi="Arial" w:cs="Arial"/>
          <w:b/>
          <w:bCs/>
          <w:color w:val="000000"/>
          <w:sz w:val="24"/>
          <w:szCs w:val="24"/>
        </w:rPr>
        <w:t xml:space="preserve">Требования к организации рабочих мест пользователей ПЭВМ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При размещении рабочих мест с ПЭВМ расстояние между рабочими столами с видеомониторами (в направлении тыла поверхности одного видеомонитора и э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рана другого видеомонитора), должно быть не менее </w:t>
      </w:r>
      <w:smartTag w:uri="urn:schemas-microsoft-com:office:smarttags" w:element="metricconverter">
        <w:smartTagPr>
          <w:attr w:name="ProductID" w:val="2,0 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2,0 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, а расстояние между б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ковыми поверхностями видеомониторов - не менее </w:t>
      </w:r>
      <w:smartTag w:uri="urn:schemas-microsoft-com:office:smarttags" w:element="metricconverter">
        <w:smartTagPr>
          <w:attr w:name="ProductID" w:val="1,2 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1,2 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Рабочие места с ПЭВМ в помещениях с источниками вредных производс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венных факторов должны размещаться в изолированных кабинах с организова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ным воздухообменом.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Рабочие места с ПЭВМ при выполнении творческой работы, требующей значительного умственного напряжения или высокой концентрации внимания, рек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мендуется изолировать друг от друга перегородками высотой 1,5-</w:t>
      </w:r>
      <w:smartTag w:uri="urn:schemas-microsoft-com:office:smarttags" w:element="metricconverter">
        <w:smartTagPr>
          <w:attr w:name="ProductID" w:val="2,0 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2,0 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Экран видеомонитора должен находиться от глаз пользователя на рассто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я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нии 600-</w:t>
      </w:r>
      <w:smartTag w:uri="urn:schemas-microsoft-com:office:smarttags" w:element="metricconverter">
        <w:smartTagPr>
          <w:attr w:name="ProductID" w:val="7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700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500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с учетом размеров алфавитно-цифровых зн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ков и символов.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ется использование рабочих столов различных конструкций, отвечающих совр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менным требованиям эргономики.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Высота рабочей поверхности стола должна регулироваться в пределах 680-</w:t>
      </w:r>
      <w:smartTag w:uri="urn:schemas-microsoft-com:office:smarttags" w:element="metricconverter">
        <w:smartTagPr>
          <w:attr w:name="ProductID" w:val="8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800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; при отсутствии такой возможности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725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lastRenderedPageBreak/>
        <w:t>Модульными размерами рабочей поверхности стола для ПЭВМ, на основ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нии которых должны рассчитываться конструктивные размеры, следует считать: ширину 800, 1000, 1200 и </w:t>
      </w:r>
      <w:smartTag w:uri="urn:schemas-microsoft-com:office:smarttags" w:element="metricconverter">
        <w:smartTagPr>
          <w:attr w:name="ProductID" w:val="14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1400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глубину 800 и </w:t>
      </w:r>
      <w:smartTag w:uri="urn:schemas-microsoft-com:office:smarttags" w:element="metricconverter">
        <w:smartTagPr>
          <w:attr w:name="ProductID" w:val="10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1000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при нерегулируемой его высоте, равной </w:t>
      </w:r>
      <w:smartTag w:uri="urn:schemas-microsoft-com:office:smarttags" w:element="metricconverter">
        <w:smartTagPr>
          <w:attr w:name="ProductID" w:val="725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725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600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500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450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на уро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в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650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Поверхность рабочего стола должна иметь коэффициент отражения 0,5-0,7.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Конструкция рабочего стула (кресла) должна обеспечивать поддержание 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рать с учетом роста пользователя, характера и продолжительности работы с ПЭВМ.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Конструкция рабочего стула должна обеспечивать: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- ширину и глубину поверхности сиденья не менее </w:t>
      </w:r>
      <w:smartTag w:uri="urn:schemas-microsoft-com:office:smarttags" w:element="metricconverter">
        <w:smartTagPr>
          <w:attr w:name="ProductID" w:val="4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400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- поверхность сиденья с закругленным передним краем;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- регулировку высоты поверхности сиденья в пределах 400-</w:t>
      </w:r>
      <w:smartTag w:uri="urn:schemas-microsoft-com:office:smarttags" w:element="metricconverter">
        <w:smartTagPr>
          <w:attr w:name="ProductID" w:val="55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550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углам наклона вперед до 15° и назад до 5°;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- высоту опорной поверхности спинки 300±</w:t>
      </w:r>
      <w:smartTag w:uri="urn:schemas-microsoft-com:office:smarttags" w:element="metricconverter">
        <w:smartTagPr>
          <w:attr w:name="ProductID" w:val="2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20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38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380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радиус кривизны горизонтальной плоскости - </w:t>
      </w:r>
      <w:smartTag w:uri="urn:schemas-microsoft-com:office:smarttags" w:element="metricconverter">
        <w:smartTagPr>
          <w:attr w:name="ProductID" w:val="4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400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- угол наклона спинки в вертикальной плоскости в пределах ±30°;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- регулировку расстояния спинки от переднего края сиденья в пределах 260-</w:t>
      </w:r>
      <w:smartTag w:uri="urn:schemas-microsoft-com:office:smarttags" w:element="metricconverter">
        <w:smartTagPr>
          <w:attr w:name="ProductID" w:val="4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400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- стационарные или съемные подлокотники длиной не менее </w:t>
      </w:r>
      <w:smartTag w:uri="urn:schemas-microsoft-com:office:smarttags" w:element="metricconverter">
        <w:smartTagPr>
          <w:attr w:name="ProductID" w:val="25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250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шир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ной - 50-</w:t>
      </w:r>
      <w:smartTag w:uri="urn:schemas-microsoft-com:office:smarttags" w:element="metricconverter">
        <w:smartTagPr>
          <w:attr w:name="ProductID" w:val="7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70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- регулировку подлокотников по высоте над сиденьем в пределах 230±</w:t>
      </w:r>
      <w:smartTag w:uri="urn:schemas-microsoft-com:office:smarttags" w:element="metricconverter">
        <w:smartTagPr>
          <w:attr w:name="ProductID" w:val="3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 xml:space="preserve">30 </w:t>
        </w: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lastRenderedPageBreak/>
          <w:t>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внутреннего расстояния между подлокотниками в пределах 350-</w:t>
      </w:r>
      <w:smartTag w:uri="urn:schemas-microsoft-com:office:smarttags" w:element="metricconverter">
        <w:smartTagPr>
          <w:attr w:name="ProductID" w:val="5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500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крытием, обеспечивающим легкую очистку от загрязнений.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Рабочее место пользователя ПЭВМ следует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300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400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, регулировку по высоте в пределах до </w:t>
      </w:r>
      <w:smartTag w:uri="urn:schemas-microsoft-com:office:smarttags" w:element="metricconverter">
        <w:smartTagPr>
          <w:attr w:name="ProductID" w:val="15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150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по углу наклона опорной поверхности подставки до 20°. Поверхность подставки должна быть рифленой и иметь по переднему краю бортик высотой </w:t>
      </w:r>
      <w:smartTag w:uri="urn:schemas-microsoft-com:office:smarttags" w:element="metricconverter">
        <w:smartTagPr>
          <w:attr w:name="ProductID" w:val="1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10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Клавиатуру следует располагать на поверхности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Pr="00892945">
          <w:rPr>
            <w:rFonts w:ascii="Arial" w:hAnsi="Arial" w:cs="Arial"/>
            <w:bCs/>
            <w:color w:val="000000"/>
            <w:sz w:val="24"/>
            <w:szCs w:val="24"/>
          </w:rPr>
          <w:t>300 мм</w:t>
        </w:r>
      </w:smartTag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C906D6" w:rsidRPr="00AA199F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199F">
        <w:rPr>
          <w:rFonts w:ascii="Arial" w:hAnsi="Arial" w:cs="Arial"/>
          <w:b/>
          <w:bCs/>
          <w:color w:val="000000"/>
          <w:sz w:val="24"/>
          <w:szCs w:val="24"/>
        </w:rPr>
        <w:t xml:space="preserve">Требования к освещению на рабочих местах, оборудованных ПЭВМ 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Эксплуатация ПЭВМ в помещениях без естественного освещения допускае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ся только при наличии расчетов, обосновывающих соответствие нормам естес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венного освещения и безопасность их деятельности для здоровья работающих (пункт в редакции, введенной в действие с 1 июля 2007 года).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Естественное и искусственное освещение должно соответствовать требов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ниям действующей нормативной документации. Окна в помещениях, где эксплуат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руется вычислительная техника, преимущественно должны быть ориентированы на север и северо-восток. Оконные проемы должны быть оборудованы регулируем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ы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ми устройствами типа: жалюзи, занавесей, внешних козырьков и др.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Рабочие столы следует размещать таким образом, чтобы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видеодисплейные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терминалы были ориентированы боковой стороной к световым проемам, чтобы 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тественный свет падал преимущественно слева.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lastRenderedPageBreak/>
        <w:t>Освещенность на поверхности стола в зоне размещения рабочего документа должна быть 300-500 лк. Освещение не должно создавать бликов на поверхности экрана. Освещенность поверхности экрана не должна быть более 300 лк.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Следует ограничивать прямую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блесткость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r w:rsidRPr="00892945"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88900" cy="189865"/>
            <wp:effectExtent l="19050" t="0" r="6350" b="0"/>
            <wp:docPr id="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Следует ограничивать отраженную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блесткость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на рабочих поверхностях (э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ран, стол, клавиатура и др.) за счет правильного выбора типов светильников и ра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положения рабочих мест по отношению к источникам естественного и искусстве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ного освещения, при этом яркость бликов на экране ПЭВМ не должна превышать 40 кд/м</w:t>
      </w:r>
      <w:proofErr w:type="gramStart"/>
      <w:r w:rsidRPr="000450E3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яркость потолка не должна превышать 200 кд/м</w:t>
      </w:r>
      <w:r w:rsidRPr="000450E3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Показатель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ослепленности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для источников общего искусственного освещ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ния в производственных помещениях должен быть не более 20. Показатель ди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комфорта в административно-общественных помещениях не более 40.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Яркость светильников общего освещения в зоне углов излучения от 50 до 90° с вертикалью в продольной и поперечной плоскостях должна составлять не более 200 кд/м</w:t>
      </w:r>
      <w:r w:rsidRPr="00892945"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88900" cy="189865"/>
            <wp:effectExtent l="19050" t="0" r="6350" b="0"/>
            <wp:docPr id="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945">
        <w:rPr>
          <w:rFonts w:ascii="Arial" w:hAnsi="Arial" w:cs="Arial"/>
          <w:bCs/>
          <w:color w:val="000000"/>
          <w:sz w:val="24"/>
          <w:szCs w:val="24"/>
        </w:rPr>
        <w:t>, защитный угол светильников должен быть не менее 40°. Светильники местного освещения должны иметь непросвечивающий отражатель с защитным у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г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лом не менее 40°.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Следует ограничивать неравномерность распределения яркости в поле зр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ния пользователя ПЭВМ, при этом соотношение яркости между рабочими повер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х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ностями не должно превышать 3:1-5:1, а между рабочими поверхностями и повер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х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ностями стен и оборудования 10:1.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В качестве источников света при искусственном освещении следует прим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нять преимущественно люминесцентные лампы типа ЛБ и компактные люмине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с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центные лампы (КЛЛ). При устройстве отраженного освещения в производственных и административно-общественных помещениях допускается применение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металл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галогенных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ламп. В светильниках местного освещения допускается применение ламп накаливания, в том числе галогенных.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Для освещения помещений с ПЭВМ следует применять светильники с зе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р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кальными параболическими решетками, укомплектованными электронными </w:t>
      </w:r>
      <w:proofErr w:type="spellStart"/>
      <w:proofErr w:type="gramStart"/>
      <w:r w:rsidRPr="00892945">
        <w:rPr>
          <w:rFonts w:ascii="Arial" w:hAnsi="Arial" w:cs="Arial"/>
          <w:bCs/>
          <w:color w:val="000000"/>
          <w:sz w:val="24"/>
          <w:szCs w:val="24"/>
        </w:rPr>
        <w:lastRenderedPageBreak/>
        <w:t>пуско-регулирующими</w:t>
      </w:r>
      <w:proofErr w:type="spellEnd"/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аппаратами (ЭПРА). Допускается использование многоламповых светильников с ЭПРА, </w:t>
      </w:r>
      <w:proofErr w:type="gramStart"/>
      <w:r w:rsidRPr="00892945">
        <w:rPr>
          <w:rFonts w:ascii="Arial" w:hAnsi="Arial" w:cs="Arial"/>
          <w:bCs/>
          <w:color w:val="000000"/>
          <w:sz w:val="24"/>
          <w:szCs w:val="24"/>
        </w:rPr>
        <w:t>состоящими</w:t>
      </w:r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из равного числа опережающих и отстающих ветвей.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Применение светильников без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рассеивателей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и экранирующих решеток не допускается.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При отсутствии светильников с ЭПРА лампы многоламповых светильников или рядом расположенные светильники общего освещения следует включать на разные фазы трехфазной сети.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Общее освещение при использовании люминесцентных светильников след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у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ет выполнять в виде сплошных или прерывистых линий светильников, расположе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н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ных сбоку от рабочих мест, параллельно линии зрения пользователя при рядном расположении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видеодисплейных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терминалов. При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периметральном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расположении компьютеров линии светильников должны располагаться 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локализованно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над раб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о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чим столом ближе к его переднему краю, обращенному к оператору.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Коэффициент запаса (</w:t>
      </w:r>
      <w:proofErr w:type="spellStart"/>
      <w:r w:rsidRPr="00892945">
        <w:rPr>
          <w:rFonts w:ascii="Arial" w:hAnsi="Arial" w:cs="Arial"/>
          <w:bCs/>
          <w:color w:val="000000"/>
          <w:sz w:val="24"/>
          <w:szCs w:val="24"/>
        </w:rPr>
        <w:t>Кз</w:t>
      </w:r>
      <w:proofErr w:type="spell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) для осветительных установок общего освещения должен приниматься </w:t>
      </w:r>
      <w:proofErr w:type="gramStart"/>
      <w:r w:rsidRPr="00892945">
        <w:rPr>
          <w:rFonts w:ascii="Arial" w:hAnsi="Arial" w:cs="Arial"/>
          <w:bCs/>
          <w:color w:val="000000"/>
          <w:sz w:val="24"/>
          <w:szCs w:val="24"/>
        </w:rPr>
        <w:t>равным</w:t>
      </w:r>
      <w:proofErr w:type="gramEnd"/>
      <w:r w:rsidRPr="00892945">
        <w:rPr>
          <w:rFonts w:ascii="Arial" w:hAnsi="Arial" w:cs="Arial"/>
          <w:bCs/>
          <w:color w:val="000000"/>
          <w:sz w:val="24"/>
          <w:szCs w:val="24"/>
        </w:rPr>
        <w:t xml:space="preserve"> 1,4.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Коэффициент пульсации не должен превышать 5%.</w:t>
      </w:r>
    </w:p>
    <w:p w:rsidR="00C906D6" w:rsidRPr="00892945" w:rsidRDefault="00C906D6" w:rsidP="00C906D6">
      <w:pPr>
        <w:pStyle w:val="6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945">
        <w:rPr>
          <w:rFonts w:ascii="Arial" w:hAnsi="Arial" w:cs="Arial"/>
          <w:bCs/>
          <w:color w:val="000000"/>
          <w:sz w:val="24"/>
          <w:szCs w:val="24"/>
        </w:rPr>
        <w:t>Для обеспечения нормируемых значений освещенности в помещениях для использования ПЭВМ следует проводить чистку стекол оконных рам и светильн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и</w:t>
      </w:r>
      <w:r w:rsidRPr="00892945">
        <w:rPr>
          <w:rFonts w:ascii="Arial" w:hAnsi="Arial" w:cs="Arial"/>
          <w:bCs/>
          <w:color w:val="000000"/>
          <w:sz w:val="24"/>
          <w:szCs w:val="24"/>
        </w:rPr>
        <w:t>ков не реже двух раз в год и проводить своевременную замену перегоревших ламп.</w:t>
      </w:r>
    </w:p>
    <w:p w:rsidR="00E32A79" w:rsidRDefault="00E32A79" w:rsidP="00C906D6">
      <w:pPr>
        <w:pStyle w:val="6"/>
        <w:shd w:val="clear" w:color="auto" w:fill="FFFFFF"/>
        <w:ind w:firstLine="720"/>
        <w:jc w:val="right"/>
      </w:pPr>
    </w:p>
    <w:sectPr w:rsidR="00E32A79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8C" w:rsidRDefault="00CE5F8C" w:rsidP="00E32A79">
      <w:pPr>
        <w:spacing w:line="240" w:lineRule="auto"/>
      </w:pPr>
      <w:r>
        <w:separator/>
      </w:r>
    </w:p>
  </w:endnote>
  <w:endnote w:type="continuationSeparator" w:id="0">
    <w:p w:rsidR="00CE5F8C" w:rsidRDefault="00CE5F8C" w:rsidP="00E3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8C" w:rsidRDefault="00CE5F8C" w:rsidP="00E32A79">
      <w:pPr>
        <w:spacing w:line="240" w:lineRule="auto"/>
      </w:pPr>
      <w:r>
        <w:separator/>
      </w:r>
    </w:p>
  </w:footnote>
  <w:footnote w:type="continuationSeparator" w:id="0">
    <w:p w:rsidR="00CE5F8C" w:rsidRDefault="00CE5F8C" w:rsidP="00E32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79"/>
    <w:rsid w:val="00292440"/>
    <w:rsid w:val="002B6A9D"/>
    <w:rsid w:val="0076484D"/>
    <w:rsid w:val="009C51EA"/>
    <w:rsid w:val="00C8001C"/>
    <w:rsid w:val="00C906D6"/>
    <w:rsid w:val="00CE5F8C"/>
    <w:rsid w:val="00E3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E32A7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E32A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32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32A79"/>
    <w:rPr>
      <w:vertAlign w:val="superscript"/>
    </w:rPr>
  </w:style>
  <w:style w:type="paragraph" w:customStyle="1" w:styleId="ConsPlusNormal">
    <w:name w:val="ConsPlusNormal"/>
    <w:rsid w:val="00E32A7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2041</Words>
  <Characters>11637</Characters>
  <Application>Microsoft Office Word</Application>
  <DocSecurity>0</DocSecurity>
  <Lines>96</Lines>
  <Paragraphs>27</Paragraphs>
  <ScaleCrop>false</ScaleCrop>
  <Company>DG Win&amp;Soft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2013-12-30T20:17:00Z</dcterms:created>
  <dcterms:modified xsi:type="dcterms:W3CDTF">2013-12-30T20:17:00Z</dcterms:modified>
</cp:coreProperties>
</file>